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58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cs="宋体"/>
          <w:sz w:val="44"/>
          <w:szCs w:val="44"/>
          <w:lang w:val="en-US" w:eastAsia="zh-CN"/>
        </w:rPr>
        <w:t>第一届“宛陵杯”</w:t>
      </w:r>
      <w:r>
        <w:rPr>
          <w:rFonts w:hint="eastAsia" w:ascii="宋体" w:hAnsi="宋体" w:eastAsia="宋体" w:cs="宋体"/>
          <w:sz w:val="44"/>
          <w:szCs w:val="44"/>
        </w:rPr>
        <w:t>律师辩论赛</w:t>
      </w:r>
    </w:p>
    <w:p>
      <w:pPr>
        <w:pStyle w:val="2"/>
        <w:widowControl w:val="0"/>
        <w:spacing w:line="58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评委评分规则</w:t>
      </w:r>
    </w:p>
    <w:p>
      <w:pPr>
        <w:pStyle w:val="2"/>
        <w:widowControl w:val="0"/>
        <w:spacing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具体评分规则如下：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执行规则（20分）</w:t>
      </w:r>
      <w:r>
        <w:rPr>
          <w:rFonts w:ascii="Times New Roman" w:hAnsi="Times New Roman" w:eastAsia="仿宋_GB2312" w:cs="Times New Roman"/>
          <w:sz w:val="32"/>
          <w:szCs w:val="32"/>
        </w:rPr>
        <w:t>严格遵守赛事规则。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思维逻辑（20分）</w:t>
      </w:r>
      <w:r>
        <w:rPr>
          <w:rFonts w:ascii="Times New Roman" w:hAnsi="Times New Roman" w:eastAsia="仿宋_GB2312" w:cs="Times New Roman"/>
          <w:sz w:val="32"/>
          <w:szCs w:val="32"/>
        </w:rPr>
        <w:t>立意明确，能从多角度、多层次对辩题进行分析理解论述。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辩论技巧（20分）</w:t>
      </w:r>
      <w:r>
        <w:rPr>
          <w:rFonts w:ascii="Times New Roman" w:hAnsi="Times New Roman" w:eastAsia="仿宋_GB2312" w:cs="Times New Roman"/>
          <w:sz w:val="32"/>
          <w:szCs w:val="32"/>
        </w:rPr>
        <w:t>论证巧妙、充分合理，逻辑严谨，善于抓住对方矛盾、差错，扩大己方优势。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语言表达（20分）</w:t>
      </w:r>
      <w:r>
        <w:rPr>
          <w:rFonts w:ascii="Times New Roman" w:hAnsi="Times New Roman" w:eastAsia="仿宋_GB2312" w:cs="Times New Roman"/>
          <w:sz w:val="32"/>
          <w:szCs w:val="32"/>
        </w:rPr>
        <w:t>语言流畅、表述清晰透彻，有感染力。</w:t>
      </w:r>
    </w:p>
    <w:p>
      <w:pPr>
        <w:pStyle w:val="2"/>
        <w:widowControl w:val="0"/>
        <w:autoSpaceDE w:val="0"/>
        <w:autoSpaceDN w:val="0"/>
        <w:ind w:firstLine="640" w:firstLineChars="200"/>
        <w:jc w:val="both"/>
        <w:rPr>
          <w:rFonts w:ascii="仿宋_GB2312" w:hAnsi="仿宋_GB2312" w:eastAsia="仿宋_GB2312" w:cs="仿宋_GB2312"/>
          <w:spacing w:val="-1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辩论仪态（10分）</w:t>
      </w:r>
      <w:r>
        <w:rPr>
          <w:rFonts w:ascii="Times New Roman" w:hAnsi="Times New Roman" w:eastAsia="仿宋_GB2312" w:cs="Times New Roman"/>
          <w:sz w:val="32"/>
          <w:szCs w:val="32"/>
        </w:rPr>
        <w:t>辩手表情自然，形体手势恰当大方，</w:t>
      </w:r>
      <w:r>
        <w:rPr>
          <w:rFonts w:ascii="仿宋_GB2312" w:hAnsi="仿宋_GB2312" w:eastAsia="仿宋_GB2312" w:cs="仿宋_GB2312"/>
          <w:spacing w:val="-1"/>
          <w:sz w:val="32"/>
          <w:szCs w:val="32"/>
        </w:rPr>
        <w:t>尊重对手，尊重评委和观众。</w:t>
      </w:r>
    </w:p>
    <w:p>
      <w:pPr>
        <w:pStyle w:val="2"/>
        <w:widowControl w:val="0"/>
        <w:autoSpaceDE w:val="0"/>
        <w:autoSpaceDN w:val="0"/>
        <w:ind w:firstLine="640" w:firstLineChars="200"/>
        <w:jc w:val="both"/>
        <w:rPr>
          <w:rFonts w:ascii="仿宋_GB2312" w:hAnsi="仿宋_GB2312" w:eastAsia="仿宋_GB2312" w:cs="仿宋_GB2312"/>
          <w:spacing w:val="-1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团体配合（10分）</w:t>
      </w:r>
      <w:r>
        <w:rPr>
          <w:rFonts w:ascii="仿宋_GB2312" w:hAnsi="仿宋_GB2312" w:eastAsia="仿宋_GB2312" w:cs="仿宋_GB2312"/>
          <w:spacing w:val="-1"/>
          <w:sz w:val="32"/>
          <w:szCs w:val="32"/>
        </w:rPr>
        <w:t>善于团队协作，攻防有序。</w:t>
      </w:r>
    </w:p>
    <w:p>
      <w:pPr>
        <w:pStyle w:val="2"/>
        <w:widowControl w:val="0"/>
        <w:autoSpaceDE w:val="0"/>
        <w:autoSpaceDN w:val="0"/>
        <w:ind w:firstLine="636" w:firstLineChars="200"/>
        <w:jc w:val="both"/>
        <w:rPr>
          <w:spacing w:val="-1"/>
          <w:sz w:val="32"/>
          <w:szCs w:val="32"/>
        </w:rPr>
      </w:pPr>
      <w:r>
        <w:rPr>
          <w:rFonts w:ascii="仿宋_GB2312" w:hAnsi="仿宋_GB2312" w:eastAsia="仿宋_GB2312" w:cs="仿宋_GB2312"/>
          <w:spacing w:val="-1"/>
          <w:sz w:val="32"/>
          <w:szCs w:val="32"/>
        </w:rPr>
        <w:t>总分100分，可精确到小数点后2位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</w:t>
      </w:r>
      <w:r>
        <w:rPr>
          <w:rFonts w:hint="eastAsia"/>
          <w:spacing w:val="-1"/>
          <w:sz w:val="32"/>
          <w:szCs w:val="32"/>
        </w:rPr>
        <w:t>计分结果保留到小数点后三位）</w:t>
      </w:r>
      <w:r>
        <w:rPr>
          <w:spacing w:val="-1"/>
          <w:sz w:val="32"/>
          <w:szCs w:val="32"/>
        </w:rPr>
        <w:t>。</w:t>
      </w:r>
    </w:p>
    <w:p>
      <w:pPr>
        <w:pStyle w:val="2"/>
        <w:widowControl w:val="0"/>
        <w:autoSpaceDE w:val="0"/>
        <w:autoSpaceDN w:val="0"/>
        <w:ind w:firstLine="636" w:firstLineChars="200"/>
        <w:jc w:val="both"/>
        <w:rPr>
          <w:spacing w:val="-1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评分要求：</w:t>
      </w:r>
    </w:p>
    <w:p>
      <w:pPr>
        <w:pStyle w:val="2"/>
        <w:widowControl w:val="0"/>
        <w:autoSpaceDE w:val="0"/>
        <w:autoSpaceDN w:val="0"/>
        <w:ind w:firstLine="636" w:firstLineChars="200"/>
        <w:jc w:val="both"/>
        <w:rPr>
          <w:spacing w:val="-1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一、每场比赛共聘请11名评委，其中1名为主评委。主评委由组委会指定担任。评分采用百分制，建议起始分不低于80分，各评委独立评分，现场直接评出。</w:t>
      </w:r>
    </w:p>
    <w:p>
      <w:pPr>
        <w:pStyle w:val="2"/>
        <w:widowControl w:val="0"/>
        <w:autoSpaceDE w:val="0"/>
        <w:autoSpaceDN w:val="0"/>
        <w:ind w:firstLine="636" w:firstLineChars="200"/>
        <w:jc w:val="both"/>
        <w:rPr>
          <w:spacing w:val="-1"/>
          <w:sz w:val="32"/>
          <w:szCs w:val="32"/>
        </w:rPr>
      </w:pPr>
      <w:r>
        <w:rPr>
          <w:rFonts w:hint="eastAsia"/>
          <w:spacing w:val="-1"/>
          <w:sz w:val="32"/>
          <w:szCs w:val="32"/>
        </w:rPr>
        <w:t>二、各位评委应熟悉评分项目及标准，围绕具体评分细则对参赛队伍及每位辩手进行公正客观地评分评价。重点按照审题是否清晰、对辩题理解的深度、论证的逻辑性、攻辩的犀利程度、驳论的力度、总结的精彩程度、配合的默契度、形象及感染力等进行综合考评。评分时请勿将个人学术观点带入评判标准。</w:t>
      </w:r>
    </w:p>
    <w:p>
      <w:pPr>
        <w:pStyle w:val="2"/>
        <w:widowControl w:val="0"/>
        <w:autoSpaceDE w:val="0"/>
        <w:autoSpaceDN w:val="0"/>
        <w:ind w:firstLine="636" w:firstLineChars="200"/>
        <w:jc w:val="both"/>
        <w:rPr>
          <w:rFonts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 </w:t>
      </w:r>
    </w:p>
    <w:p>
      <w:pPr>
        <w:widowControl w:val="0"/>
        <w:jc w:val="center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黑体" w:hAnsi="黑体" w:eastAsia="黑体" w:cs="黑体"/>
          <w:b/>
          <w:bCs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</w:rPr>
        <w:t>评分表</w:t>
      </w:r>
    </w:p>
    <w:bookmarkEnd w:id="0"/>
    <w:p>
      <w:pPr>
        <w:widowControl w:val="0"/>
        <w:jc w:val="both"/>
        <w:rPr>
          <w:rFonts w:ascii="Calibri" w:hAnsi="Calibri" w:cs="Times New Roman"/>
          <w:kern w:val="2"/>
          <w:sz w:val="21"/>
          <w:szCs w:val="22"/>
        </w:rPr>
      </w:pPr>
      <w:r>
        <w:rPr>
          <w:rFonts w:ascii="Calibri" w:hAnsi="Calibri" w:cs="Times New Roman"/>
          <w:kern w:val="2"/>
          <w:sz w:val="21"/>
          <w:szCs w:val="22"/>
        </w:rPr>
        <w:t>场次：</w:t>
      </w:r>
      <w:r>
        <w:rPr>
          <w:rFonts w:hint="eastAsia" w:ascii="Calibri" w:hAnsi="Calibri" w:cs="Times New Roman"/>
          <w:kern w:val="2"/>
          <w:sz w:val="21"/>
          <w:szCs w:val="22"/>
          <w:u w:val="single"/>
        </w:rPr>
        <w:t xml:space="preserve"> ______________________</w:t>
      </w:r>
      <w:r>
        <w:rPr>
          <w:rFonts w:hint="eastAsia" w:ascii="Calibri" w:hAnsi="Calibri" w:cs="Times New Roman"/>
          <w:kern w:val="2"/>
          <w:sz w:val="21"/>
          <w:szCs w:val="22"/>
        </w:rPr>
        <w:t xml:space="preserve">       辩题:</w:t>
      </w:r>
      <w:r>
        <w:rPr>
          <w:rFonts w:hint="eastAsia" w:ascii="Calibri" w:hAnsi="Calibri" w:cs="Times New Roman"/>
          <w:kern w:val="2"/>
          <w:sz w:val="21"/>
          <w:szCs w:val="22"/>
          <w:u w:val="single"/>
        </w:rPr>
        <w:t>_____________________</w:t>
      </w:r>
    </w:p>
    <w:tbl>
      <w:tblPr>
        <w:tblStyle w:val="5"/>
        <w:tblpPr w:leftFromText="180" w:rightFromText="180" w:vertAnchor="text" w:tblpX="-227" w:tblpY="201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4"/>
        <w:gridCol w:w="1825"/>
        <w:gridCol w:w="1373"/>
        <w:gridCol w:w="1274"/>
        <w:gridCol w:w="1262"/>
        <w:gridCol w:w="1222"/>
        <w:gridCol w:w="1220"/>
        <w:gridCol w:w="256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2" w:hRule="atLeast"/>
        </w:trPr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选手</w:t>
            </w:r>
          </w:p>
        </w:tc>
        <w:tc>
          <w:tcPr>
            <w:tcW w:w="1825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ascii="Calibri" w:hAnsi="Calibri" w:cs="Times New Roman"/>
              </w:rPr>
              <w:t>执行</w:t>
            </w:r>
            <w:r>
              <w:rPr>
                <w:rFonts w:hint="eastAsia" w:ascii="Calibri" w:hAnsi="Calibri" w:cs="Times New Roman"/>
              </w:rPr>
              <w:t>规则</w:t>
            </w:r>
          </w:p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（20分）</w:t>
            </w:r>
          </w:p>
        </w:tc>
        <w:tc>
          <w:tcPr>
            <w:tcW w:w="1373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思维逻辑（20分）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辩论技巧（20分）</w:t>
            </w:r>
          </w:p>
        </w:tc>
        <w:tc>
          <w:tcPr>
            <w:tcW w:w="1262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语言表达（20分）</w:t>
            </w:r>
          </w:p>
        </w:tc>
        <w:tc>
          <w:tcPr>
            <w:tcW w:w="1222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辩论仪态（10分）</w:t>
            </w:r>
          </w:p>
        </w:tc>
        <w:tc>
          <w:tcPr>
            <w:tcW w:w="1220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团体配合（10分）</w:t>
            </w:r>
          </w:p>
        </w:tc>
        <w:tc>
          <w:tcPr>
            <w:tcW w:w="2565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总分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99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hint="eastAsia" w:ascii="Calibri" w:hAnsi="Calibri" w:cs="Times New Roman"/>
                <w:sz w:val="32"/>
                <w:szCs w:val="32"/>
              </w:rPr>
              <w:t>正方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990" w:type="dxa"/>
            <w:vMerge w:val="continue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99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</w:trPr>
        <w:tc>
          <w:tcPr>
            <w:tcW w:w="99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hint="eastAsia" w:ascii="Calibri" w:hAnsi="Calibri" w:cs="Times New Roman"/>
                <w:sz w:val="32"/>
                <w:szCs w:val="32"/>
              </w:rPr>
              <w:t>反方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</w:trPr>
        <w:tc>
          <w:tcPr>
            <w:tcW w:w="990" w:type="dxa"/>
            <w:vMerge w:val="continue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99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</w:trPr>
        <w:tc>
          <w:tcPr>
            <w:tcW w:w="990" w:type="dxa"/>
            <w:vMerge w:val="continue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2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>
      <w:pPr>
        <w:pStyle w:val="2"/>
        <w:widowControl w:val="0"/>
        <w:autoSpaceDE w:val="0"/>
        <w:autoSpaceDN w:val="0"/>
        <w:jc w:val="both"/>
        <w:rPr>
          <w:rFonts w:ascii="仿宋_GB2312" w:hAnsi="仿宋_GB2312" w:eastAsia="仿宋_GB2312" w:cs="仿宋_GB2312"/>
          <w:spacing w:val="-1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A2FE94F"/>
    <w:rsid w:val="FFFF2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360"/>
      </w:tabs>
      <w:spacing w:line="560" w:lineRule="exact"/>
    </w:pPr>
    <w:rPr>
      <w:sz w:val="28"/>
      <w:szCs w:val="2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rFonts w:ascii="宋体" w:hAnsi="宋体" w:eastAsia="宋体" w:cs="宋体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宋体"/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customStyle="1" w:styleId="10">
    <w:name w:val="样式1"/>
    <w:basedOn w:val="1"/>
    <w:qFormat/>
    <w:uiPriority w:val="0"/>
    <w:pPr>
      <w:spacing w:beforeAutospacing="1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</Words>
  <Characters>617</Characters>
  <Lines>5</Lines>
  <Paragraphs>1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2023-07-04T10:01:00Z</dcterms:created>
  <dc:creator>等风的旗</dc:creator>
  <cp:lastModifiedBy>陈锦策</cp:lastModifiedBy>
  <cp:lastPrinted>2023-10-17T03:01:00Z</cp:lastPrinted>
  <dcterms:modified xsi:type="dcterms:W3CDTF">2025-08-11T08:26:42Z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9F2DB45779BFA8A8BAFE9368E4300E80_43</vt:lpwstr>
  </property>
</Properties>
</file>